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376170" cy="464820"/>
            <wp:effectExtent l="0" t="0" r="0" b="12700"/>
            <wp:docPr id="24578" name="图片 1" descr="4G优盘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图片 1" descr="4G优盘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07950" y="117475"/>
                      <a:ext cx="2376488" cy="46513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住房公积金汇缴单位信息变更表</w:t>
      </w:r>
    </w:p>
    <w:bookmarkEnd w:id="0"/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586"/>
        <w:gridCol w:w="968"/>
        <w:gridCol w:w="139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单位账号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经办人姓名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经办人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经办人电话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变更启用日期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变更项目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变更前内容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变更后内容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160" w:type="dxa"/>
            <w:gridSpan w:val="5"/>
            <w:vAlign w:val="center"/>
          </w:tcPr>
          <w:p>
            <w:pPr>
              <w:tabs>
                <w:tab w:val="left" w:pos="5459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单位名称（公章）：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定代表人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：</w:t>
            </w:r>
          </w:p>
          <w:p>
            <w:pPr>
              <w:tabs>
                <w:tab w:val="left" w:pos="5459"/>
              </w:tabs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单位经办人签字：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业务专用章：</w:t>
            </w:r>
          </w:p>
        </w:tc>
      </w:tr>
    </w:tbl>
    <w:p>
      <w:pPr>
        <w:tabs>
          <w:tab w:val="left" w:pos="1229"/>
        </w:tabs>
        <w:ind w:firstLine="6300" w:firstLineChars="3000"/>
        <w:rPr>
          <w:rFonts w:hint="eastAsia" w:asciiTheme="majorEastAsia" w:hAnsiTheme="majorEastAsia" w:eastAsiaTheme="majorEastAsia" w:cstheme="major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eastAsia="zh-CN"/>
        </w:rPr>
        <w:t>制表日期：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4"/>
          <w:lang w:val="en-US" w:eastAsia="zh-CN" w:bidi="ar-SA"/>
        </w:rPr>
        <w:t>注：1.本表格一式两联，一联留中心，一联退单位；   2.本表填写信息需准确、真实、有效。</w:t>
      </w:r>
    </w:p>
    <w:p>
      <w:pPr>
        <w:tabs>
          <w:tab w:val="left" w:pos="1229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</w:t>
      </w:r>
    </w:p>
    <w:sectPr>
      <w:pgSz w:w="11906" w:h="16838"/>
      <w:pgMar w:top="1020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A1B2D"/>
    <w:rsid w:val="181261F4"/>
    <w:rsid w:val="28374022"/>
    <w:rsid w:val="2ED14D70"/>
    <w:rsid w:val="37B5618E"/>
    <w:rsid w:val="60AB2C3F"/>
    <w:rsid w:val="7CF37D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GJJ</dc:creator>
  <cp:lastModifiedBy>资金归集科-刘子奕</cp:lastModifiedBy>
  <dcterms:modified xsi:type="dcterms:W3CDTF">2018-01-07T13:07:25Z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